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CF02" w14:textId="3383CDBA" w:rsidR="008F42E3" w:rsidRPr="002C28AD" w:rsidRDefault="00491639" w:rsidP="002C28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b/>
          <w:bCs/>
          <w:color w:val="2F5496"/>
          <w:sz w:val="22"/>
          <w:szCs w:val="22"/>
        </w:rPr>
      </w:pPr>
      <w:r w:rsidRPr="002C28AD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B36F05" w:rsidRPr="002C28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Low-Level</w:t>
      </w:r>
      <w:r w:rsidR="008F42E3" w:rsidRPr="002C28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 xml:space="preserve"> Hydraulic Float Maintenance</w:t>
      </w:r>
      <w:r w:rsidR="008F42E3" w:rsidRPr="002C28AD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3F7D481C" w14:textId="77777777" w:rsidR="008F42E3" w:rsidRPr="00B27BBB" w:rsidRDefault="008F42E3" w:rsidP="008F42E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4441F7B" w14:textId="77777777" w:rsidR="008F42E3" w:rsidRPr="00B27BBB" w:rsidRDefault="008F42E3" w:rsidP="008F42E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Preliminary Note: 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2EBDA2C" w14:textId="77777777" w:rsidR="00B36F05" w:rsidRPr="00B27BBB" w:rsidRDefault="008F42E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Only perform as needed or when receiving alarms on the iPad </w:t>
      </w:r>
    </w:p>
    <w:p w14:paraId="04788C33" w14:textId="6766843C" w:rsidR="008F42E3" w:rsidRPr="00B27BBB" w:rsidRDefault="008F42E3" w:rsidP="00B36F05">
      <w:pPr>
        <w:pStyle w:val="paragraph"/>
        <w:spacing w:before="0" w:beforeAutospacing="0" w:after="0" w:afterAutospacing="0"/>
        <w:ind w:left="108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FA74431" w14:textId="77777777" w:rsidR="008F42E3" w:rsidRPr="00B27BBB" w:rsidRDefault="008F42E3" w:rsidP="008F42E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 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54805A5" w14:textId="354D192F" w:rsidR="00B36F05" w:rsidRPr="00B27BBB" w:rsidRDefault="00B36F0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Low-Level</w:t>
      </w:r>
      <w:r w:rsidR="008F42E3"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Switch (P-HYD-2069)</w:t>
      </w:r>
    </w:p>
    <w:p w14:paraId="6EEFC019" w14:textId="0D1DA4CD" w:rsidR="008F42E3" w:rsidRPr="00B27BBB" w:rsidRDefault="008F42E3" w:rsidP="00B36F05">
      <w:pPr>
        <w:pStyle w:val="paragraph"/>
        <w:spacing w:before="0" w:beforeAutospacing="0" w:after="0" w:afterAutospacing="0"/>
        <w:ind w:left="108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EA9770A" w14:textId="77777777" w:rsidR="008F42E3" w:rsidRPr="00B27BBB" w:rsidRDefault="008F42E3" w:rsidP="008F42E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648B37E" w14:textId="77777777" w:rsidR="008F42E3" w:rsidRPr="00B27BBB" w:rsidRDefault="008F42E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Gloves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E1AC229" w14:textId="770D551E" w:rsidR="008F42E3" w:rsidRPr="00B27BBB" w:rsidRDefault="008F42E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iPad 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587595B" w14:textId="77777777" w:rsidR="00B36F05" w:rsidRPr="00B27BBB" w:rsidRDefault="00B36F05" w:rsidP="00B36F05">
      <w:pPr>
        <w:pStyle w:val="paragraph"/>
        <w:spacing w:before="0" w:beforeAutospacing="0" w:after="0" w:afterAutospacing="0"/>
        <w:ind w:left="108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1397937C" w14:textId="77777777" w:rsidR="008F42E3" w:rsidRPr="00B27BBB" w:rsidRDefault="008F42E3" w:rsidP="008F42E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901C7CD" w14:textId="57FCAD24" w:rsidR="008F42E3" w:rsidRPr="00B27BBB" w:rsidRDefault="008F42E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Turn off</w:t>
      </w:r>
      <w:r w:rsidR="002C28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="00A12D1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="00A12D12"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breakers</w:t>
      </w: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going to the </w:t>
      </w:r>
      <w:r w:rsidR="00A12D1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H</w:t>
      </w: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ydraulics </w:t>
      </w:r>
      <w:r w:rsidR="00A12D1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Power Packs </w:t>
      </w:r>
      <w:r w:rsidR="0008225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(HYD1 –HYD2 –HYD3) in the video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45ACF74" w14:textId="41C51235" w:rsidR="008F42E3" w:rsidRPr="00B27BBB" w:rsidRDefault="008F42E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Go to “Monitor” on the iPad and find the hydraulic tank oil level input sensors</w:t>
      </w:r>
      <w:r w:rsidR="00A12D1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AD54FA8" w14:textId="62FADAA1" w:rsidR="008F42E3" w:rsidRPr="00B27BBB" w:rsidRDefault="008F42E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The light will glow green when the oil level is good and red if</w:t>
      </w:r>
      <w:r w:rsidR="00784F8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oil level is low. 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45DDAE9" w14:textId="5B1B6BC3" w:rsidR="008F42E3" w:rsidRPr="00B27BBB" w:rsidRDefault="008F42E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To test the sensor, </w:t>
      </w:r>
      <w:r w:rsidR="00B36F05"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the green light should turn red when you push down the sensor float in the tank</w:t>
      </w: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 If it does not, you will need to replace the oil level switch.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FA418A6" w14:textId="77777777" w:rsidR="008F42E3" w:rsidRPr="00B27BBB" w:rsidRDefault="008F42E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Turn the breakers back on when finished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55289BF" w14:textId="77777777" w:rsidR="008F42E3" w:rsidRPr="00B27BBB" w:rsidRDefault="008F42E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7BB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Clear out alarms caused by testing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89FD72B" w14:textId="5A7B3E86" w:rsidR="00491639" w:rsidRPr="00B27BBB" w:rsidRDefault="00491639" w:rsidP="00F622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/>
          <w:b/>
          <w:bCs/>
          <w:sz w:val="22"/>
          <w:szCs w:val="22"/>
        </w:rPr>
      </w:pPr>
    </w:p>
    <w:p w14:paraId="486673D7" w14:textId="3090A557" w:rsidR="009D0C4C" w:rsidRPr="00B27BBB" w:rsidRDefault="00B27BBB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Style w:val="eop"/>
          <w:rFonts w:ascii="Avenir Next LT Pro" w:hAnsi="Avenir Next LT Pro" w:cs="Calibri"/>
          <w:color w:val="000000"/>
          <w:sz w:val="22"/>
          <w:szCs w:val="22"/>
          <w:shd w:val="clear" w:color="auto" w:fill="FFFFFF"/>
        </w:rPr>
      </w:pPr>
      <w:r w:rsidRPr="00B27BBB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  <w:shd w:val="clear" w:color="auto" w:fill="FFFFFF"/>
        </w:rPr>
        <w:t>Instructional Video:</w:t>
      </w:r>
      <w:r w:rsidRPr="00B27BBB">
        <w:rPr>
          <w:rStyle w:val="eop"/>
          <w:rFonts w:ascii="Avenir Next LT Pro" w:hAnsi="Avenir Next LT Pro" w:cs="Calibri"/>
          <w:color w:val="000000"/>
          <w:sz w:val="22"/>
          <w:szCs w:val="22"/>
          <w:shd w:val="clear" w:color="auto" w:fill="FFFFFF"/>
        </w:rPr>
        <w:t> </w:t>
      </w:r>
    </w:p>
    <w:p w14:paraId="3823CFCD" w14:textId="6A0DF34F" w:rsidR="00B27BBB" w:rsidRPr="00B27BBB" w:rsidRDefault="00000000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hyperlink r:id="rId8" w:history="1">
        <w:r w:rsidR="00B27BBB" w:rsidRPr="00B27BBB">
          <w:rPr>
            <w:rFonts w:ascii="Avenir Next LT Pro" w:hAnsi="Avenir Next LT Pro"/>
            <w:color w:val="0000FF"/>
            <w:sz w:val="22"/>
            <w:szCs w:val="22"/>
            <w:u w:val="single"/>
          </w:rPr>
          <w:t>Low Level Hydraulic Float on Vimeo</w:t>
        </w:r>
      </w:hyperlink>
    </w:p>
    <w:sectPr w:rsidR="00B27BBB" w:rsidRPr="00B27BBB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1629" w14:textId="77777777" w:rsidR="004F36CD" w:rsidRDefault="004F36CD">
      <w:r>
        <w:separator/>
      </w:r>
    </w:p>
  </w:endnote>
  <w:endnote w:type="continuationSeparator" w:id="0">
    <w:p w14:paraId="7C471AED" w14:textId="77777777" w:rsidR="004F36CD" w:rsidRDefault="004F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2828" w14:textId="77777777" w:rsidR="004F36CD" w:rsidRDefault="004F36CD">
      <w:r>
        <w:separator/>
      </w:r>
    </w:p>
  </w:footnote>
  <w:footnote w:type="continuationSeparator" w:id="0">
    <w:p w14:paraId="4FDFEAF7" w14:textId="77777777" w:rsidR="004F36CD" w:rsidRDefault="004F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406"/>
    <w:multiLevelType w:val="hybridMultilevel"/>
    <w:tmpl w:val="97CE38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D37F07"/>
    <w:multiLevelType w:val="multilevel"/>
    <w:tmpl w:val="EBE6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E332CA"/>
    <w:multiLevelType w:val="multilevel"/>
    <w:tmpl w:val="3D58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50F79DF"/>
    <w:multiLevelType w:val="multilevel"/>
    <w:tmpl w:val="7B8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272062">
    <w:abstractNumId w:val="5"/>
  </w:num>
  <w:num w:numId="2" w16cid:durableId="702749120">
    <w:abstractNumId w:val="3"/>
  </w:num>
  <w:num w:numId="3" w16cid:durableId="158428532">
    <w:abstractNumId w:val="2"/>
  </w:num>
  <w:num w:numId="4" w16cid:durableId="1061365341">
    <w:abstractNumId w:val="4"/>
  </w:num>
  <w:num w:numId="5" w16cid:durableId="1989239362">
    <w:abstractNumId w:val="1"/>
  </w:num>
  <w:num w:numId="6" w16cid:durableId="5365085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254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C28AD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4F36CD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84F81"/>
    <w:rsid w:val="00791B3F"/>
    <w:rsid w:val="007A0171"/>
    <w:rsid w:val="007B05CD"/>
    <w:rsid w:val="007B305B"/>
    <w:rsid w:val="007D2CC1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8F42E3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C550F"/>
    <w:rsid w:val="009D0C4C"/>
    <w:rsid w:val="009F36F1"/>
    <w:rsid w:val="00A023FF"/>
    <w:rsid w:val="00A03533"/>
    <w:rsid w:val="00A12D12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27BBB"/>
    <w:rsid w:val="00B36F05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750040141?embedded=true&amp;source=vimeo_logo&amp;owner=1081682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9</cp:revision>
  <dcterms:created xsi:type="dcterms:W3CDTF">2022-11-22T01:05:00Z</dcterms:created>
  <dcterms:modified xsi:type="dcterms:W3CDTF">2022-12-01T01:13:00Z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